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EC9E5" w14:textId="4F396659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720B5">
        <w:rPr>
          <w:color w:val="000000"/>
          <w:sz w:val="28"/>
          <w:szCs w:val="28"/>
        </w:rPr>
        <w:t>рило</w:t>
      </w:r>
      <w:r w:rsidR="001F576D">
        <w:rPr>
          <w:color w:val="000000"/>
          <w:sz w:val="28"/>
          <w:szCs w:val="28"/>
        </w:rPr>
        <w:t>жение</w:t>
      </w:r>
    </w:p>
    <w:p w14:paraId="4EA40D1D" w14:textId="77777777" w:rsidR="004B6E73" w:rsidRDefault="004B6E73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51E548C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17EAB348" w14:textId="3E8E6EE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1EC8203" w14:textId="5D25CF14" w:rsidR="004B6E73" w:rsidRDefault="00CF4548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30.01.2026 № 67</w:t>
      </w:r>
      <w:bookmarkStart w:id="0" w:name="_GoBack"/>
      <w:bookmarkEnd w:id="0"/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5BECFCCD" w:rsidR="004B6E73" w:rsidRDefault="001A39F4" w:rsidP="00844B3A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регламент</w:t>
      </w:r>
    </w:p>
    <w:p w14:paraId="290C530B" w14:textId="2DAB1B9E" w:rsidR="004B6E73" w:rsidRDefault="001A39F4" w:rsidP="00844B3A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>предоставления муниципальной услуги</w:t>
      </w:r>
    </w:p>
    <w:p w14:paraId="565667EB" w14:textId="77777777" w:rsidR="00844845" w:rsidRDefault="001A39F4" w:rsidP="00844845">
      <w:pPr>
        <w:pStyle w:val="ConsPlusNormal"/>
        <w:ind w:left="567" w:right="567"/>
        <w:jc w:val="center"/>
        <w:rPr>
          <w:b/>
          <w:bCs/>
          <w:color w:val="000000"/>
          <w:lang w:bidi="ru-RU"/>
        </w:rPr>
      </w:pPr>
      <w:r>
        <w:rPr>
          <w:b/>
        </w:rPr>
        <w:t>«</w:t>
      </w:r>
      <w:r w:rsidR="00844845" w:rsidRPr="00844845">
        <w:rPr>
          <w:b/>
          <w:bCs/>
          <w:color w:val="000000"/>
          <w:lang w:bidi="ru-RU"/>
        </w:rPr>
        <w:t>Включение</w:t>
      </w:r>
      <w:r w:rsidR="00844845">
        <w:rPr>
          <w:b/>
          <w:bCs/>
          <w:color w:val="000000"/>
          <w:lang w:bidi="ru-RU"/>
        </w:rPr>
        <w:t xml:space="preserve"> </w:t>
      </w:r>
      <w:r w:rsidR="00844845" w:rsidRPr="00844845">
        <w:rPr>
          <w:b/>
          <w:bCs/>
          <w:color w:val="000000"/>
          <w:lang w:bidi="ru-RU"/>
        </w:rPr>
        <w:t xml:space="preserve">в реестр мест (площадок) накопления </w:t>
      </w:r>
    </w:p>
    <w:p w14:paraId="58DA9141" w14:textId="04B7C617" w:rsidR="004B6E73" w:rsidRDefault="00844845" w:rsidP="00844845">
      <w:pPr>
        <w:pStyle w:val="ConsPlusNormal"/>
        <w:ind w:left="567" w:right="567"/>
        <w:jc w:val="center"/>
        <w:rPr>
          <w:b/>
        </w:rPr>
      </w:pPr>
      <w:r>
        <w:rPr>
          <w:b/>
          <w:bCs/>
          <w:color w:val="000000"/>
          <w:lang w:bidi="ru-RU"/>
        </w:rPr>
        <w:t>т</w:t>
      </w:r>
      <w:r w:rsidRPr="00844845">
        <w:rPr>
          <w:b/>
          <w:bCs/>
          <w:color w:val="000000"/>
          <w:lang w:bidi="ru-RU"/>
        </w:rPr>
        <w:t>вердых</w:t>
      </w:r>
      <w:r>
        <w:rPr>
          <w:b/>
          <w:bCs/>
          <w:color w:val="000000"/>
          <w:lang w:bidi="ru-RU"/>
        </w:rPr>
        <w:t xml:space="preserve"> </w:t>
      </w:r>
      <w:r w:rsidRPr="00844845">
        <w:rPr>
          <w:b/>
          <w:bCs/>
          <w:color w:val="000000"/>
          <w:lang w:bidi="ru-RU"/>
        </w:rPr>
        <w:t>коммунальных отходов</w:t>
      </w:r>
      <w:r w:rsidR="001A39F4">
        <w:rPr>
          <w:b/>
        </w:rPr>
        <w:t>»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1A39F4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1A4FE90D" w:rsidR="004B6E73" w:rsidRDefault="001A39F4" w:rsidP="00844B3A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10B34C8E" w:rsidR="004B6E73" w:rsidRDefault="001A39F4" w:rsidP="00844B3A">
      <w:pPr>
        <w:tabs>
          <w:tab w:val="left" w:pos="0"/>
          <w:tab w:val="left" w:pos="709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77777777" w:rsidR="004B6E73" w:rsidRDefault="001A39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1A39F4" w:rsidP="00844B3A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463783D3" w:rsidR="004B6E73" w:rsidRDefault="00CB16F4" w:rsidP="0084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1A39F4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1A39F4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1A39F4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844B3A">
        <w:rPr>
          <w:rFonts w:eastAsia="PT Serif"/>
          <w:color w:val="000000"/>
          <w:sz w:val="28"/>
          <w:szCs w:val="28"/>
        </w:rPr>
        <w:t xml:space="preserve">е лицо, указанным в приложении </w:t>
      </w:r>
      <w:r w:rsidR="0043752C">
        <w:rPr>
          <w:rFonts w:eastAsia="PT Serif"/>
          <w:color w:val="000000"/>
          <w:sz w:val="28"/>
          <w:szCs w:val="28"/>
        </w:rPr>
        <w:t>2</w:t>
      </w:r>
      <w:r w:rsidR="001F576D">
        <w:rPr>
          <w:rFonts w:eastAsia="PT Serif"/>
          <w:color w:val="000000"/>
          <w:sz w:val="28"/>
          <w:szCs w:val="28"/>
        </w:rPr>
        <w:t xml:space="preserve">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02A6BC84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844B3A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 xml:space="preserve">заявителей, сведения о которых размещаются </w:t>
      </w:r>
      <w:r w:rsidR="00844B3A">
        <w:rPr>
          <w:rFonts w:eastAsia="PT Serif"/>
          <w:bCs/>
          <w:color w:val="000000"/>
          <w:sz w:val="28"/>
          <w:szCs w:val="28"/>
        </w:rPr>
        <w:t>в реестре услуг и в федеральной</w:t>
      </w:r>
      <w:r w:rsidR="0066648A">
        <w:rPr>
          <w:rFonts w:eastAsia="PT Serif"/>
          <w:bCs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</w:t>
      </w:r>
    </w:p>
    <w:p w14:paraId="588FCC8A" w14:textId="35E77297" w:rsidR="0066648A" w:rsidRDefault="0066648A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470BB240" w:rsidR="002751C5" w:rsidRPr="002751C5" w:rsidRDefault="002751C5" w:rsidP="00844B3A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</w:t>
      </w:r>
      <w:r w:rsidRPr="002751C5">
        <w:rPr>
          <w:rStyle w:val="16"/>
          <w:rFonts w:ascii="Times New Roman" w:hAnsi="Times New Roman"/>
          <w:sz w:val="28"/>
        </w:rPr>
        <w:lastRenderedPageBreak/>
        <w:t>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4CBC9CF6" w:rsidR="004B6E73" w:rsidRDefault="001A39F4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33FAECDB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Муниципальная услуга предоставляется администрацией Ейского городского поселения Ейского района через управление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844B3A" w:rsidRPr="003714B3">
        <w:rPr>
          <w:sz w:val="28"/>
          <w:szCs w:val="28"/>
        </w:rPr>
        <w:t>жилищно-коммунального хозяйства администраци</w:t>
      </w:r>
      <w:r w:rsidR="00844B3A">
        <w:rPr>
          <w:sz w:val="28"/>
          <w:szCs w:val="28"/>
        </w:rPr>
        <w:t>и</w:t>
      </w:r>
      <w:r w:rsidR="00844B3A" w:rsidRPr="003714B3">
        <w:rPr>
          <w:sz w:val="28"/>
          <w:szCs w:val="28"/>
        </w:rPr>
        <w:t xml:space="preserve"> </w:t>
      </w:r>
      <w:r w:rsidR="00844B3A">
        <w:rPr>
          <w:sz w:val="28"/>
          <w:szCs w:val="28"/>
        </w:rPr>
        <w:t>Ейского городского поселения</w:t>
      </w:r>
      <w:r w:rsidR="00844B3A" w:rsidRPr="003714B3">
        <w:rPr>
          <w:sz w:val="28"/>
          <w:szCs w:val="28"/>
        </w:rPr>
        <w:t xml:space="preserve"> Ейск</w:t>
      </w:r>
      <w:r w:rsidR="00844B3A">
        <w:rPr>
          <w:sz w:val="28"/>
          <w:szCs w:val="28"/>
        </w:rPr>
        <w:t>ого</w:t>
      </w:r>
      <w:r w:rsidR="00844B3A" w:rsidRPr="003714B3">
        <w:rPr>
          <w:sz w:val="28"/>
          <w:szCs w:val="28"/>
        </w:rPr>
        <w:t xml:space="preserve"> район</w:t>
      </w:r>
      <w:r w:rsidR="00844B3A">
        <w:rPr>
          <w:sz w:val="28"/>
          <w:szCs w:val="28"/>
        </w:rPr>
        <w:t>а</w:t>
      </w:r>
      <w:r w:rsidR="00844B3A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1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1BEA4883" w:rsidR="004B6E73" w:rsidRDefault="001A39F4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2" w:name="_Hlk178678028"/>
      <w:bookmarkEnd w:id="1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66454E03" w14:textId="77777777" w:rsidR="00844B3A" w:rsidRDefault="00844B3A" w:rsidP="00844B3A">
      <w:pPr>
        <w:pStyle w:val="17"/>
        <w:tabs>
          <w:tab w:val="left" w:pos="851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ф</w:t>
      </w:r>
      <w:r w:rsidRPr="00657CE7">
        <w:rPr>
          <w:color w:val="000000"/>
          <w:lang w:bidi="ru-RU"/>
        </w:rPr>
        <w:t>илиалом ФГБУ «Федеральная кадастровая палата Федеральной службы государственной регистрации, кадас</w:t>
      </w:r>
      <w:r>
        <w:rPr>
          <w:color w:val="000000"/>
          <w:lang w:bidi="ru-RU"/>
        </w:rPr>
        <w:t>тра и картографии» по Краснодар</w:t>
      </w:r>
      <w:r w:rsidRPr="00657CE7">
        <w:rPr>
          <w:color w:val="000000"/>
          <w:lang w:bidi="ru-RU"/>
        </w:rPr>
        <w:t>скому краю;</w:t>
      </w:r>
    </w:p>
    <w:p w14:paraId="0BCEC806" w14:textId="77777777" w:rsidR="00844B3A" w:rsidRDefault="00844B3A" w:rsidP="00844B3A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краю;</w:t>
      </w:r>
    </w:p>
    <w:p w14:paraId="16DC361F" w14:textId="63AE381C" w:rsidR="00844B3A" w:rsidRPr="00557004" w:rsidRDefault="00844B3A" w:rsidP="00844B3A">
      <w:pPr>
        <w:widowControl w:val="0"/>
        <w:tabs>
          <w:tab w:val="left" w:pos="851"/>
        </w:tabs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</w:t>
      </w:r>
      <w:r w:rsidRPr="00657CE7">
        <w:rPr>
          <w:color w:val="000000"/>
          <w:sz w:val="28"/>
          <w:szCs w:val="28"/>
          <w:lang w:bidi="ru-RU"/>
        </w:rPr>
        <w:t>ерриториальным отделом Управле</w:t>
      </w:r>
      <w:r>
        <w:rPr>
          <w:color w:val="000000"/>
          <w:sz w:val="28"/>
          <w:szCs w:val="28"/>
          <w:lang w:bidi="ru-RU"/>
        </w:rPr>
        <w:t>ния Федеральной службы по надзо</w:t>
      </w:r>
      <w:r w:rsidRPr="00657CE7">
        <w:rPr>
          <w:color w:val="000000"/>
          <w:sz w:val="28"/>
          <w:szCs w:val="28"/>
          <w:lang w:bidi="ru-RU"/>
        </w:rPr>
        <w:t xml:space="preserve">ру в сфере защиты прав потребителей и благополучия человека по Краснодарскому краю </w:t>
      </w:r>
      <w:r w:rsidRPr="00735AD0">
        <w:rPr>
          <w:sz w:val="28"/>
          <w:szCs w:val="28"/>
        </w:rPr>
        <w:t>в Ейском, Щербиновском, Староминском районах</w:t>
      </w:r>
      <w:r w:rsidR="00557004" w:rsidRPr="00557004">
        <w:rPr>
          <w:sz w:val="28"/>
          <w:szCs w:val="28"/>
        </w:rPr>
        <w:t>/</w:t>
      </w:r>
    </w:p>
    <w:bookmarkEnd w:id="2"/>
    <w:p w14:paraId="598FCB84" w14:textId="77777777" w:rsidR="00557004" w:rsidRPr="006720B5" w:rsidRDefault="005570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 w:rsidRPr="006720B5">
        <w:rPr>
          <w:rFonts w:eastAsia="PT Serif"/>
          <w:bCs/>
          <w:color w:val="000000"/>
          <w:sz w:val="28"/>
          <w:szCs w:val="28"/>
        </w:rPr>
        <w:t>2</w:t>
      </w:r>
    </w:p>
    <w:p w14:paraId="6B91082C" w14:textId="7C7F7E76" w:rsidR="004B6E73" w:rsidRDefault="005570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 w:rsidRPr="006720B5">
        <w:rPr>
          <w:rFonts w:eastAsia="PT Serif"/>
          <w:bCs/>
          <w:color w:val="000000"/>
          <w:sz w:val="28"/>
          <w:szCs w:val="28"/>
        </w:rPr>
        <w:t>2</w:t>
      </w:r>
      <w:r w:rsidR="001A39F4">
        <w:rPr>
          <w:rFonts w:eastAsia="PT Serif"/>
          <w:bCs/>
          <w:color w:val="000000"/>
          <w:sz w:val="28"/>
          <w:szCs w:val="28"/>
        </w:rPr>
        <w:t>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04DE38D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844B3A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5DD09146" w14:textId="4B472C67" w:rsidR="00652AF1" w:rsidRPr="004B6416" w:rsidRDefault="001A39F4" w:rsidP="00652AF1">
      <w:pPr>
        <w:widowControl w:val="0"/>
        <w:tabs>
          <w:tab w:val="left" w:pos="108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652AF1">
        <w:rPr>
          <w:rFonts w:eastAsia="PT Serif"/>
          <w:sz w:val="28"/>
          <w:szCs w:val="28"/>
        </w:rPr>
        <w:t xml:space="preserve">а) </w:t>
      </w:r>
      <w:r w:rsidR="00652AF1" w:rsidRPr="00652AF1">
        <w:rPr>
          <w:sz w:val="28"/>
          <w:szCs w:val="28"/>
          <w:lang w:bidi="ru-RU"/>
        </w:rPr>
        <w:t xml:space="preserve">решение </w:t>
      </w:r>
      <w:r w:rsidR="00844845" w:rsidRPr="00362E74">
        <w:rPr>
          <w:sz w:val="28"/>
          <w:szCs w:val="28"/>
          <w:lang w:bidi="ru-RU"/>
        </w:rPr>
        <w:t>о включении сведений о месте (площадке) накопления твердых коммунальных отходов в Реестр либо уведомление об отказе во включении сведений о месте (площадке) накопления твердых коммунальных отходов в Реестр</w:t>
      </w:r>
      <w:r w:rsidR="00652AF1" w:rsidRPr="004B6416">
        <w:rPr>
          <w:color w:val="000000"/>
          <w:sz w:val="28"/>
          <w:szCs w:val="28"/>
          <w:lang w:bidi="ru-RU"/>
        </w:rPr>
        <w:t>;</w:t>
      </w:r>
    </w:p>
    <w:p w14:paraId="256200AD" w14:textId="602DB78F" w:rsidR="00652AF1" w:rsidRPr="004B6416" w:rsidRDefault="00652AF1" w:rsidP="00652AF1">
      <w:pPr>
        <w:widowControl w:val="0"/>
        <w:tabs>
          <w:tab w:val="left" w:pos="1087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б) 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</w:t>
      </w:r>
      <w:r w:rsidR="00844845">
        <w:rPr>
          <w:sz w:val="28"/>
          <w:szCs w:val="28"/>
          <w:lang w:bidi="ru-RU"/>
        </w:rPr>
        <w:t>в предоставлении муниципальной услуги</w:t>
      </w:r>
      <w:r w:rsidRPr="004B6416">
        <w:rPr>
          <w:color w:val="000000"/>
          <w:sz w:val="28"/>
          <w:szCs w:val="28"/>
          <w:lang w:bidi="ru-RU"/>
        </w:rPr>
        <w:t>.</w:t>
      </w:r>
    </w:p>
    <w:p w14:paraId="76290792" w14:textId="2F0C49A2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16601D">
        <w:rPr>
          <w:color w:val="000000"/>
          <w:sz w:val="28"/>
          <w:szCs w:val="28"/>
        </w:rPr>
        <w:t>При обращени</w:t>
      </w:r>
      <w:r w:rsidR="00844B3A">
        <w:rPr>
          <w:color w:val="000000"/>
          <w:sz w:val="28"/>
          <w:szCs w:val="28"/>
        </w:rPr>
        <w:t>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</w:t>
      </w:r>
      <w:r>
        <w:rPr>
          <w:rFonts w:eastAsia="PT Serif"/>
          <w:color w:val="000000"/>
          <w:sz w:val="28"/>
          <w:szCs w:val="28"/>
        </w:rPr>
        <w:lastRenderedPageBreak/>
        <w:t xml:space="preserve">документах: </w:t>
      </w:r>
    </w:p>
    <w:p w14:paraId="252837A1" w14:textId="5F4A59A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281F6691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78265194"/>
      <w:bookmarkEnd w:id="3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bookmarkEnd w:id="4"/>
    <w:p w14:paraId="174A76AD" w14:textId="79C3AFB7" w:rsidR="0016601D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8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9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668AF242" w14:textId="77777777" w:rsidR="001F576D" w:rsidRDefault="001F576D" w:rsidP="001F57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2CC0D835" w14:textId="17463543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</w:t>
      </w:r>
      <w:r w:rsidR="001F576D">
        <w:rPr>
          <w:color w:val="000000"/>
          <w:sz w:val="28"/>
          <w:szCs w:val="28"/>
        </w:rPr>
        <w:t xml:space="preserve">может быть </w:t>
      </w:r>
      <w:r>
        <w:rPr>
          <w:color w:val="000000"/>
          <w:sz w:val="28"/>
          <w:szCs w:val="28"/>
        </w:rPr>
        <w:t>направл</w:t>
      </w:r>
      <w:r w:rsidR="001F576D">
        <w:rPr>
          <w:color w:val="000000"/>
          <w:sz w:val="28"/>
          <w:szCs w:val="28"/>
        </w:rPr>
        <w:t xml:space="preserve">ена </w:t>
      </w:r>
      <w:r>
        <w:rPr>
          <w:color w:val="000000"/>
          <w:sz w:val="28"/>
          <w:szCs w:val="28"/>
        </w:rPr>
        <w:t xml:space="preserve"> заявителю через </w:t>
      </w:r>
      <w:hyperlink r:id="rId10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 w:rsidR="001F576D">
        <w:rPr>
          <w:color w:val="000000"/>
          <w:sz w:val="28"/>
          <w:szCs w:val="28"/>
        </w:rPr>
        <w:t>, в случае обрушения за предоставлением муниципальной услуги через Портал.</w:t>
      </w:r>
    </w:p>
    <w:p w14:paraId="7D33396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1E64CF4C" w14:textId="3E7AD5EF" w:rsidR="001F576D" w:rsidRDefault="003A0504" w:rsidP="001F57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2.3.6. </w:t>
      </w:r>
      <w:r w:rsidR="001F576D"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1A39F4" w:rsidP="00844B3A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2E4C4182" w14:textId="35389476" w:rsidR="00652AF1" w:rsidRPr="00993364" w:rsidRDefault="00844845" w:rsidP="0084484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2.4.1. </w:t>
      </w:r>
      <w:r w:rsidR="00652AF1" w:rsidRPr="00B02B1A">
        <w:rPr>
          <w:sz w:val="28"/>
          <w:szCs w:val="28"/>
          <w:lang w:bidi="ru-RU"/>
        </w:rPr>
        <w:t xml:space="preserve">Срок предоставления Муниципальной услуги составляет не более 10 </w:t>
      </w:r>
      <w:r>
        <w:rPr>
          <w:sz w:val="28"/>
          <w:szCs w:val="28"/>
          <w:lang w:bidi="ru-RU"/>
        </w:rPr>
        <w:t>рабочих</w:t>
      </w:r>
      <w:r w:rsidR="00652AF1" w:rsidRPr="00B02B1A">
        <w:rPr>
          <w:sz w:val="28"/>
          <w:szCs w:val="28"/>
          <w:lang w:bidi="ru-RU"/>
        </w:rPr>
        <w:t xml:space="preserve"> дней со дня поступления заяв</w:t>
      </w:r>
      <w:r w:rsidR="0033731B">
        <w:rPr>
          <w:sz w:val="28"/>
          <w:szCs w:val="28"/>
          <w:lang w:bidi="ru-RU"/>
        </w:rPr>
        <w:t>ления</w:t>
      </w:r>
      <w:r w:rsidR="00652AF1" w:rsidRPr="00B02B1A">
        <w:rPr>
          <w:sz w:val="28"/>
          <w:szCs w:val="28"/>
          <w:lang w:bidi="ru-RU"/>
        </w:rPr>
        <w:t xml:space="preserve"> (запроса) в Уполномоченный </w:t>
      </w:r>
      <w:r w:rsidR="00652AF1" w:rsidRPr="00B02B1A">
        <w:rPr>
          <w:sz w:val="28"/>
          <w:szCs w:val="28"/>
          <w:lang w:bidi="ru-RU"/>
        </w:rPr>
        <w:lastRenderedPageBreak/>
        <w:t>орган.</w:t>
      </w:r>
    </w:p>
    <w:p w14:paraId="631AF7F4" w14:textId="77777777" w:rsidR="00652AF1" w:rsidRPr="007767A2" w:rsidRDefault="00652AF1" w:rsidP="00652AF1">
      <w:pPr>
        <w:pStyle w:val="afa"/>
        <w:widowControl w:val="0"/>
        <w:numPr>
          <w:ilvl w:val="2"/>
          <w:numId w:val="2"/>
        </w:numPr>
        <w:tabs>
          <w:tab w:val="left" w:pos="0"/>
        </w:tabs>
        <w:ind w:left="0" w:firstLine="740"/>
        <w:jc w:val="both"/>
        <w:rPr>
          <w:sz w:val="28"/>
          <w:szCs w:val="28"/>
          <w:lang w:bidi="ru-RU"/>
        </w:rPr>
      </w:pPr>
      <w:r w:rsidRPr="007767A2">
        <w:rPr>
          <w:sz w:val="28"/>
          <w:szCs w:val="28"/>
          <w:lang w:bidi="ru-RU"/>
        </w:rPr>
        <w:t>Срок приостановления предоставления Муниципальной услуги законодательством не предусмотрен.</w:t>
      </w:r>
    </w:p>
    <w:p w14:paraId="1CA749E6" w14:textId="280E61DA" w:rsidR="00652AF1" w:rsidRPr="007767A2" w:rsidRDefault="00652AF1" w:rsidP="00652AF1">
      <w:pPr>
        <w:pStyle w:val="ConsPlusNormal"/>
        <w:widowControl w:val="0"/>
        <w:numPr>
          <w:ilvl w:val="2"/>
          <w:numId w:val="2"/>
        </w:numPr>
        <w:autoSpaceDE w:val="0"/>
        <w:autoSpaceDN w:val="0"/>
        <w:adjustRightInd w:val="0"/>
        <w:ind w:left="0" w:right="-1" w:firstLine="740"/>
        <w:jc w:val="both"/>
        <w:rPr>
          <w:rFonts w:eastAsia="Arial Unicode MS"/>
          <w:color w:val="000000"/>
          <w:lang w:bidi="ru-RU"/>
        </w:rPr>
      </w:pPr>
      <w:r w:rsidRPr="007767A2">
        <w:rPr>
          <w:rFonts w:eastAsia="Arial Unicode MS"/>
          <w:color w:val="000000"/>
          <w:lang w:bidi="ru-RU"/>
        </w:rPr>
        <w:t xml:space="preserve">Срок выдачи (направления) документов, являющихся результатом предоставления Муниципальной услуги составляет </w:t>
      </w:r>
      <w:r w:rsidR="00844845">
        <w:rPr>
          <w:rFonts w:eastAsia="Arial Unicode MS"/>
          <w:color w:val="000000"/>
          <w:lang w:bidi="ru-RU"/>
        </w:rPr>
        <w:t>3</w:t>
      </w:r>
      <w:r w:rsidRPr="007767A2">
        <w:rPr>
          <w:rFonts w:eastAsia="Arial Unicode MS"/>
          <w:color w:val="000000"/>
          <w:lang w:bidi="ru-RU"/>
        </w:rPr>
        <w:t xml:space="preserve"> рабочи</w:t>
      </w:r>
      <w:r w:rsidR="00844845">
        <w:rPr>
          <w:rFonts w:eastAsia="Arial Unicode MS"/>
          <w:color w:val="000000"/>
          <w:lang w:bidi="ru-RU"/>
        </w:rPr>
        <w:t>х</w:t>
      </w:r>
      <w:r w:rsidRPr="007767A2">
        <w:rPr>
          <w:rFonts w:eastAsia="Arial Unicode MS"/>
          <w:color w:val="000000"/>
          <w:lang w:bidi="ru-RU"/>
        </w:rPr>
        <w:t xml:space="preserve"> д</w:t>
      </w:r>
      <w:r w:rsidR="00844845">
        <w:rPr>
          <w:rFonts w:eastAsia="Arial Unicode MS"/>
          <w:color w:val="000000"/>
          <w:lang w:bidi="ru-RU"/>
        </w:rPr>
        <w:t>ня</w:t>
      </w:r>
      <w:r w:rsidR="0033731B">
        <w:rPr>
          <w:rFonts w:eastAsia="Arial Unicode MS"/>
          <w:color w:val="000000"/>
          <w:lang w:bidi="ru-RU"/>
        </w:rPr>
        <w:t xml:space="preserve"> со дня подписания и регистрации решения, принятого по результатом рассмотрения заявления</w:t>
      </w:r>
      <w:r w:rsidRPr="007767A2">
        <w:rPr>
          <w:rFonts w:eastAsia="Arial Unicode MS"/>
          <w:color w:val="000000"/>
          <w:lang w:bidi="ru-RU"/>
        </w:rPr>
        <w:t>.</w:t>
      </w:r>
    </w:p>
    <w:p w14:paraId="58CAB280" w14:textId="1EDD564A" w:rsidR="00652AF1" w:rsidRPr="007767A2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2.4.4. Срок предоставления муниципальной услуги для варианта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– </w:t>
      </w:r>
      <w:r w:rsidR="002B68D5">
        <w:rPr>
          <w:rFonts w:eastAsia="PT Serif"/>
          <w:color w:val="000000"/>
          <w:sz w:val="28"/>
          <w:szCs w:val="28"/>
          <w:highlight w:val="white"/>
        </w:rPr>
        <w:t xml:space="preserve">не более </w:t>
      </w:r>
      <w:r w:rsidRPr="007767A2">
        <w:rPr>
          <w:rFonts w:eastAsia="PT Serif"/>
          <w:color w:val="000000"/>
          <w:sz w:val="28"/>
          <w:szCs w:val="28"/>
          <w:highlight w:val="white"/>
        </w:rPr>
        <w:t>5 рабочих дней со дня поступления заявления.</w:t>
      </w:r>
    </w:p>
    <w:p w14:paraId="732ED04F" w14:textId="77777777" w:rsidR="00652AF1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</w:rPr>
        <w:t xml:space="preserve">2.4.5. Срок предоставления 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муниципальной услуги </w:t>
      </w:r>
      <w:r w:rsidRPr="007767A2">
        <w:rPr>
          <w:rFonts w:eastAsia="PT Serif"/>
          <w:color w:val="000000"/>
          <w:sz w:val="28"/>
          <w:szCs w:val="28"/>
        </w:rPr>
        <w:t>для варианта предоставления муниципальной услуги «Выдача дубликата документа, выданного по результату ранее предоставленной муниципальной услуги» - не более 5 рабочих дней.</w:t>
      </w:r>
    </w:p>
    <w:p w14:paraId="65FA518C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2.4.6. Срок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услуги:</w:t>
      </w:r>
    </w:p>
    <w:p w14:paraId="4F174299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A62C026" w14:textId="2126F828" w:rsidR="00652AF1" w:rsidRPr="00E43EC9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E43EC9">
        <w:rPr>
          <w:color w:val="000000"/>
          <w:sz w:val="28"/>
          <w:szCs w:val="28"/>
        </w:rPr>
        <w:t>в федеральной государственной информационной системе «</w:t>
      </w:r>
      <w:r w:rsidRPr="00652AF1">
        <w:rPr>
          <w:sz w:val="28"/>
          <w:szCs w:val="28"/>
        </w:rPr>
        <w:t>Единый портал</w:t>
      </w:r>
      <w:r w:rsidRPr="00E43EC9"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r w:rsidRPr="00652AF1">
        <w:rPr>
          <w:sz w:val="28"/>
          <w:szCs w:val="28"/>
        </w:rPr>
        <w:t xml:space="preserve">официальном </w:t>
      </w:r>
      <w:r w:rsidRPr="00652AF1"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 w:rsidRPr="00652AF1">
        <w:rPr>
          <w:color w:val="000000"/>
          <w:sz w:val="28"/>
          <w:szCs w:val="28"/>
        </w:rPr>
        <w:t>;</w:t>
      </w:r>
    </w:p>
    <w:p w14:paraId="4972401B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6BDF9067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Размер платы, взимаемой с заявителя при предоставлении </w:t>
      </w:r>
    </w:p>
    <w:p w14:paraId="72D7402B" w14:textId="62D6F771" w:rsidR="005B2D99" w:rsidRDefault="005B2D99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04EFBE3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5" w:name="_Hlk181953639"/>
    </w:p>
    <w:p w14:paraId="2D8BB166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48CF67F3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05C1CF2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</w:t>
      </w:r>
      <w:r>
        <w:rPr>
          <w:color w:val="000000"/>
          <w:sz w:val="28"/>
          <w:szCs w:val="28"/>
        </w:rPr>
        <w:lastRenderedPageBreak/>
        <w:t>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0C6A617A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 xml:space="preserve">. Срок регистрации запроса заявителя о предоставлении </w:t>
      </w:r>
    </w:p>
    <w:p w14:paraId="1F59AE63" w14:textId="39C9C3D4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7E6833B9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751F14F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844B3A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29539A44" w:rsidR="004B6E73" w:rsidRPr="0037514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02EF6D50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44B3A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hyperlink r:id="rId11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Pr="009B090B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</w:p>
    <w:p w14:paraId="4DDF7973" w14:textId="783AD634" w:rsidR="004B6E73" w:rsidRPr="009B090B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sz w:val="28"/>
          <w:szCs w:val="28"/>
        </w:rPr>
      </w:pPr>
      <w:r w:rsidRPr="009B090B">
        <w:rPr>
          <w:rFonts w:eastAsia="PT Serif"/>
          <w:bCs/>
          <w:sz w:val="28"/>
          <w:szCs w:val="28"/>
        </w:rPr>
        <w:t>2.1</w:t>
      </w:r>
      <w:r w:rsidR="005B2D99" w:rsidRPr="009B090B">
        <w:rPr>
          <w:rFonts w:eastAsia="PT Serif"/>
          <w:bCs/>
          <w:sz w:val="28"/>
          <w:szCs w:val="28"/>
        </w:rPr>
        <w:t>0</w:t>
      </w:r>
      <w:r w:rsidRPr="009B090B">
        <w:rPr>
          <w:rFonts w:eastAsia="PT Serif"/>
          <w:bCs/>
          <w:sz w:val="28"/>
          <w:szCs w:val="28"/>
        </w:rPr>
        <w:t xml:space="preserve">. </w:t>
      </w:r>
      <w:bookmarkStart w:id="6" w:name="_Hlk178674667"/>
      <w:r w:rsidRPr="009B090B">
        <w:rPr>
          <w:rFonts w:eastAsia="PT Serif"/>
          <w:bCs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Pr="009B090B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90B">
        <w:rPr>
          <w:rFonts w:ascii="Times New Roman" w:hAnsi="Times New Roman"/>
          <w:color w:val="auto"/>
          <w:sz w:val="28"/>
          <w:szCs w:val="28"/>
        </w:rPr>
        <w:t xml:space="preserve">2.10.1. </w:t>
      </w:r>
      <w:r w:rsidR="00992957" w:rsidRPr="009B090B">
        <w:rPr>
          <w:rStyle w:val="aff3"/>
          <w:rFonts w:ascii="Times New Roman" w:hAnsi="Times New Roman"/>
          <w:color w:val="auto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lastRenderedPageBreak/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3B102459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 w:rsidR="00726141">
        <w:rPr>
          <w:sz w:val="28"/>
          <w:szCs w:val="28"/>
        </w:rPr>
        <w:t>приложением</w:t>
      </w:r>
      <w:r w:rsidR="006720B5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1306C10D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</w:t>
      </w:r>
      <w:r w:rsidR="00726141">
        <w:rPr>
          <w:rStyle w:val="aff3"/>
          <w:rFonts w:ascii="Times New Roman" w:hAnsi="Times New Roman"/>
          <w:sz w:val="28"/>
        </w:rPr>
        <w:t>ставления муниципальной услуги,</w:t>
      </w:r>
      <w:r w:rsidR="006C02EE">
        <w:rPr>
          <w:rStyle w:val="aff3"/>
          <w:rFonts w:ascii="Times New Roman" w:hAnsi="Times New Roman"/>
          <w:sz w:val="28"/>
        </w:rPr>
        <w:t xml:space="preserve">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726141">
        <w:rPr>
          <w:rStyle w:val="aff3"/>
          <w:rFonts w:ascii="Times New Roman" w:hAnsi="Times New Roman"/>
          <w:sz w:val="28"/>
        </w:rPr>
        <w:t xml:space="preserve">льной услуги,  осуществляется </w:t>
      </w:r>
      <w:r w:rsidR="006C02EE">
        <w:rPr>
          <w:rStyle w:val="aff3"/>
          <w:rFonts w:ascii="Times New Roman" w:hAnsi="Times New Roman"/>
          <w:sz w:val="28"/>
        </w:rPr>
        <w:t>в МФЦ, в случае обращения 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6"/>
    <w:p w14:paraId="42A3DBB1" w14:textId="246F4A37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726141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C65BCE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7" w:name="_Hlk178672250"/>
      <w:r>
        <w:rPr>
          <w:rStyle w:val="aff3"/>
          <w:rFonts w:ascii="Times New Roman" w:hAnsi="Times New Roman"/>
          <w:sz w:val="28"/>
        </w:rPr>
        <w:t>2.11.1. Исчерпывающий перечень документов,</w:t>
      </w:r>
      <w:r w:rsidR="00726141">
        <w:rPr>
          <w:rStyle w:val="aff3"/>
          <w:rFonts w:ascii="Times New Roman" w:hAnsi="Times New Roman"/>
          <w:sz w:val="28"/>
        </w:rPr>
        <w:t xml:space="preserve"> необходимых для 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4616179A" w14:textId="754F4F09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  <w:r w:rsidR="000E169C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7"/>
    <w:p w14:paraId="4A844A04" w14:textId="548CA1BB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2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2BBC7E9C" w14:textId="77777777" w:rsidR="00EB685E" w:rsidRDefault="00EB685E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4813EE7F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</w:p>
    <w:p w14:paraId="1A3830CD" w14:textId="77777777" w:rsidR="00EB685E" w:rsidRDefault="004B0501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заявления (</w:t>
      </w:r>
      <w:r w:rsidR="005B2D99">
        <w:rPr>
          <w:rFonts w:eastAsia="PT Serif"/>
          <w:bCs/>
          <w:color w:val="000000"/>
          <w:sz w:val="28"/>
          <w:szCs w:val="28"/>
        </w:rPr>
        <w:t>запроса</w:t>
      </w:r>
      <w:r>
        <w:rPr>
          <w:rFonts w:eastAsia="PT Serif"/>
          <w:bCs/>
          <w:color w:val="000000"/>
          <w:sz w:val="28"/>
          <w:szCs w:val="28"/>
        </w:rPr>
        <w:t>)</w:t>
      </w:r>
      <w:r w:rsidR="005B2D99"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726141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 w:rsidR="005B2D99">
        <w:rPr>
          <w:rFonts w:eastAsia="PT Serif"/>
          <w:bCs/>
          <w:color w:val="000000"/>
          <w:sz w:val="28"/>
          <w:szCs w:val="28"/>
        </w:rPr>
        <w:t xml:space="preserve">и </w:t>
      </w:r>
    </w:p>
    <w:p w14:paraId="25D4111C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документов, необходимых для предоставления муниципальной услуги, </w:t>
      </w:r>
    </w:p>
    <w:p w14:paraId="1DF4CD81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исчерпывающий перечень оснований для приостановления </w:t>
      </w:r>
    </w:p>
    <w:p w14:paraId="76E191F0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</w:t>
      </w:r>
      <w:r w:rsidR="00EB685E">
        <w:rPr>
          <w:rFonts w:eastAsia="PT Serif"/>
          <w:bCs/>
          <w:color w:val="000000"/>
          <w:sz w:val="28"/>
          <w:szCs w:val="28"/>
        </w:rPr>
        <w:t>я муниципальной услуги или для отказа</w:t>
      </w:r>
      <w:r>
        <w:rPr>
          <w:rFonts w:eastAsia="PT Serif"/>
          <w:bCs/>
          <w:color w:val="000000"/>
          <w:sz w:val="28"/>
          <w:szCs w:val="28"/>
        </w:rPr>
        <w:t xml:space="preserve"> в </w:t>
      </w:r>
    </w:p>
    <w:p w14:paraId="3A5567AA" w14:textId="31752A39" w:rsidR="005B2D99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3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4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C5A8C04" w14:textId="2E7DE3A8" w:rsidR="007A330F" w:rsidRDefault="005B2D99" w:rsidP="009B0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 xml:space="preserve">. </w:t>
      </w:r>
      <w:r w:rsidRPr="009B090B">
        <w:rPr>
          <w:rFonts w:eastAsia="PT Serif"/>
          <w:color w:val="000000"/>
          <w:sz w:val="28"/>
          <w:szCs w:val="28"/>
        </w:rPr>
        <w:t>Оснований для приостановления предоставления муниципальной услуги действующим законодательством Российской Федерации не предусмотре</w:t>
      </w:r>
      <w:r w:rsidR="009B090B" w:rsidRPr="009B090B">
        <w:rPr>
          <w:rFonts w:eastAsia="PT Serif"/>
          <w:color w:val="000000"/>
          <w:sz w:val="28"/>
          <w:szCs w:val="28"/>
        </w:rPr>
        <w:t>ны.</w:t>
      </w:r>
    </w:p>
    <w:p w14:paraId="6AE25351" w14:textId="4B2C5C8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8" w:name="_Hlk178676191"/>
      <w:bookmarkStart w:id="9" w:name="_Hlk181953368"/>
      <w:bookmarkStart w:id="10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1" w:name="_Hlk181953441"/>
      <w:bookmarkEnd w:id="8"/>
      <w:bookmarkEnd w:id="9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5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0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5"/>
    <w:bookmarkEnd w:id="11"/>
    <w:p w14:paraId="05F00A7B" w14:textId="77777777" w:rsidR="00126952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2" w:name="_Hlk178674762"/>
    </w:p>
    <w:bookmarkEnd w:id="12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651671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 xml:space="preserve">б) прием заявления и </w:t>
      </w:r>
      <w:r w:rsidR="00126952" w:rsidRPr="00126952">
        <w:rPr>
          <w:rStyle w:val="16"/>
          <w:rFonts w:ascii="Times New Roman" w:hAnsi="Times New Roman"/>
          <w:sz w:val="28"/>
        </w:rPr>
        <w:t xml:space="preserve">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1B7CC4C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DC4ED7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="00726141">
        <w:rPr>
          <w:sz w:val="28"/>
          <w:szCs w:val="28"/>
        </w:rPr>
        <w:t>ется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2E6DF776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 xml:space="preserve">Анкетирование </w:t>
      </w:r>
      <w:r w:rsidR="00726141">
        <w:rPr>
          <w:sz w:val="28"/>
          <w:szCs w:val="28"/>
        </w:rPr>
        <w:t xml:space="preserve">включает в себя </w:t>
      </w:r>
      <w:r w:rsidRPr="00D9762D">
        <w:rPr>
          <w:sz w:val="28"/>
          <w:szCs w:val="28"/>
        </w:rPr>
        <w:t>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6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9B9EC5D" w:rsidR="00D9762D" w:rsidRDefault="00726141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</w:t>
      </w:r>
      <w:r w:rsidR="002D3C5C">
        <w:rPr>
          <w:rFonts w:eastAsia="PT Serif"/>
          <w:color w:val="22272F"/>
          <w:sz w:val="28"/>
          <w:szCs w:val="28"/>
        </w:rPr>
        <w:t>заявления о предо</w:t>
      </w:r>
      <w:r>
        <w:rPr>
          <w:rFonts w:eastAsia="PT Serif"/>
          <w:color w:val="22272F"/>
          <w:sz w:val="28"/>
          <w:szCs w:val="28"/>
        </w:rPr>
        <w:t xml:space="preserve">ставлении муниципальной услуги </w:t>
      </w:r>
      <w:r w:rsidR="002D3C5C">
        <w:rPr>
          <w:rFonts w:eastAsia="PT Serif"/>
          <w:color w:val="22272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4799E4CD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</w:t>
      </w:r>
      <w:r w:rsidR="00726141" w:rsidRPr="00054972">
        <w:t>способов подачи,</w:t>
      </w:r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6052628A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</w:t>
      </w:r>
      <w:r w:rsidR="00726141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7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18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274370D0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726141">
        <w:t xml:space="preserve"> оснований для отказа в приеме заявления</w:t>
      </w:r>
      <w:r w:rsidR="003F6F96">
        <w:t xml:space="preserve"> о предоставлении муниципальной услуги и документов, необходимых для предоставления муниципальной услуги, приведен в приложении </w:t>
      </w:r>
      <w:r w:rsidR="006720B5">
        <w:t xml:space="preserve">7 </w:t>
      </w:r>
      <w:r w:rsidR="003F6F96">
        <w:t>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65860270" w:rsidR="009B02F7" w:rsidRDefault="00726141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>направления заявления в электронной</w:t>
      </w:r>
      <w:r w:rsidR="000B2244">
        <w:rPr>
          <w:rFonts w:eastAsia="PT Serif"/>
          <w:sz w:val="28"/>
          <w:szCs w:val="28"/>
        </w:rPr>
        <w:t xml:space="preserve">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 w:rsidR="000B2244"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</w:t>
      </w:r>
      <w:r w:rsidR="002B68D5">
        <w:rPr>
          <w:rFonts w:eastAsia="PT Serif"/>
          <w:sz w:val="28"/>
          <w:szCs w:val="28"/>
        </w:rPr>
        <w:t xml:space="preserve"> со дня поступления заявления</w:t>
      </w:r>
      <w:r w:rsidR="009B02F7">
        <w:rPr>
          <w:rFonts w:eastAsia="PT Serif"/>
          <w:sz w:val="28"/>
          <w:szCs w:val="28"/>
        </w:rPr>
        <w:t xml:space="preserve">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0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1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2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3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0D8DC8AA" w:rsidR="006543DB" w:rsidRDefault="00726141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препятствует </w:t>
      </w:r>
      <w:r>
        <w:t xml:space="preserve">повторному обращению заявителя </w:t>
      </w:r>
      <w:r w:rsidR="00253DB4">
        <w:t>за получением муниципальной услуги после устранения указанных нарушений.</w:t>
      </w:r>
    </w:p>
    <w:p w14:paraId="46C43FC4" w14:textId="6A6F0F07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709B51D4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r w:rsidR="00726141">
        <w:t xml:space="preserve">срок </w:t>
      </w:r>
      <w:r>
        <w:t>предоставления муниципальной услуги.</w:t>
      </w:r>
    </w:p>
    <w:p w14:paraId="13278CDE" w14:textId="447545E2" w:rsidR="00493DBF" w:rsidRPr="00054972" w:rsidRDefault="00726141" w:rsidP="005A2D89">
      <w:pPr>
        <w:pStyle w:val="ConsPlusNormal"/>
        <w:ind w:firstLine="709"/>
        <w:jc w:val="both"/>
      </w:pPr>
      <w:r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</w:t>
      </w:r>
      <w:r>
        <w:t xml:space="preserve"> в уполномоченный орган или МФЦ</w:t>
      </w:r>
      <w:r w:rsidR="00F240E8">
        <w:t xml:space="preserve"> 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 w:rsidR="000B2244"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60300780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4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="00726141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</w:t>
      </w:r>
      <w:r w:rsidR="000B2244">
        <w:rPr>
          <w:sz w:val="28"/>
          <w:szCs w:val="28"/>
        </w:rPr>
        <w:t>о электронного взаимодействия.</w:t>
      </w:r>
    </w:p>
    <w:p w14:paraId="324D27E5" w14:textId="040C7B2F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</w:t>
      </w:r>
      <w:r w:rsidR="00D04C53">
        <w:rPr>
          <w:sz w:val="28"/>
          <w:szCs w:val="28"/>
        </w:rPr>
        <w:t xml:space="preserve">ым законом от 27 июля 2010 года        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36F6D172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 w:rsidR="000B2244">
        <w:t xml:space="preserve">» не приведена, </w:t>
      </w:r>
      <w:r>
        <w:t>поскольку основания для приостановления 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27427C4E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2E9817D1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</w:t>
      </w:r>
      <w:r w:rsidR="006720B5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 настоящему</w:t>
      </w:r>
      <w:r w:rsidR="009B090B"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</w:t>
      </w:r>
      <w:r w:rsidR="009B090B">
        <w:rPr>
          <w:sz w:val="28"/>
          <w:szCs w:val="28"/>
        </w:rPr>
        <w:t xml:space="preserve">вка проекта решения об отказе, </w:t>
      </w:r>
      <w:r>
        <w:rPr>
          <w:sz w:val="28"/>
          <w:szCs w:val="28"/>
        </w:rPr>
        <w:t>его согласование, подписание и регистрация осущ</w:t>
      </w:r>
      <w:r w:rsidR="009B090B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6DDCE170" w14:textId="6BC2F4CA" w:rsidR="00DE1C72" w:rsidRDefault="009B090B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>униципальной услуге может быть обжалован</w:t>
      </w:r>
      <w:r w:rsidR="00DE1C72">
        <w:t xml:space="preserve"> в досудебном порядке путем направления в уполномоченный орган, а также в судебном порядке.</w:t>
      </w:r>
    </w:p>
    <w:p w14:paraId="67C4F470" w14:textId="53957714" w:rsidR="00DE1C72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</w:t>
      </w:r>
      <w:r w:rsidR="009B090B">
        <w:t xml:space="preserve">пятствует повторному обращению </w:t>
      </w:r>
      <w:r>
        <w:t>заявителя за получением муниципальной услуги после устранения указанный в решении об отказе нарушений.</w:t>
      </w:r>
    </w:p>
    <w:p w14:paraId="53A608C6" w14:textId="3C80555B" w:rsidR="00FD1BB5" w:rsidRDefault="00FD1BB5" w:rsidP="00FD1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подготавливает </w:t>
      </w:r>
      <w:r w:rsidRPr="00B6214C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 о предоставлении муниципальной услуги по форме, установленной приложением </w:t>
      </w:r>
      <w:r w:rsidR="006720B5">
        <w:rPr>
          <w:sz w:val="28"/>
          <w:szCs w:val="28"/>
        </w:rPr>
        <w:t xml:space="preserve"> 10</w:t>
      </w:r>
      <w:r w:rsidRPr="00B6214C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B62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подписывается </w:t>
      </w:r>
      <w:r w:rsidRPr="00B6214C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ем</w:t>
      </w:r>
      <w:r w:rsidRPr="00B62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уполномоченного органа и </w:t>
      </w:r>
      <w:r w:rsidRPr="00B6214C">
        <w:rPr>
          <w:sz w:val="28"/>
          <w:szCs w:val="28"/>
        </w:rPr>
        <w:t xml:space="preserve">регистрируется  в течение 5 рабочих дней. </w:t>
      </w:r>
    </w:p>
    <w:p w14:paraId="23AB7F9B" w14:textId="77777777" w:rsidR="00FD1BB5" w:rsidRDefault="00FD1BB5" w:rsidP="00FD1BB5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>Решение о предоставлении или об отказе в предоставлении муниципальной услуги подлежит выдаче  (направлению) заявителю не позднее 3 календарных дней со дня принятия соответствующего решения.</w:t>
      </w:r>
    </w:p>
    <w:p w14:paraId="054B1176" w14:textId="77777777" w:rsidR="00FD1BB5" w:rsidRDefault="00FD1BB5" w:rsidP="00FD1BB5">
      <w:pPr>
        <w:pStyle w:val="ConsPlusNormal"/>
        <w:ind w:firstLine="709"/>
        <w:jc w:val="both"/>
      </w:pPr>
      <w:r w:rsidRPr="00B6214C">
        <w:t xml:space="preserve">б) </w:t>
      </w:r>
      <w:r>
        <w:t>С</w:t>
      </w:r>
      <w:r w:rsidRPr="001911C5">
        <w:t>рок принятия решения о предоставлении (об отказе в предоставлении) муниципальной услуги</w:t>
      </w:r>
      <w:r>
        <w:t xml:space="preserve"> составляет не более 10  календарных дней со дня регистрации заявления и документов, необходимых для предоставления муниципальной услуги.</w:t>
      </w:r>
    </w:p>
    <w:p w14:paraId="2BE99F87" w14:textId="77777777" w:rsidR="00FD1BB5" w:rsidRPr="001911C5" w:rsidRDefault="00FD1BB5" w:rsidP="00FD1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 административной процедуры  входит в общий срок предоставления муниципальной услуги.</w:t>
      </w:r>
    </w:p>
    <w:p w14:paraId="1047406D" w14:textId="227D262A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43DFF5C3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предоставления</w:t>
      </w:r>
      <w:r w:rsidR="009B090B">
        <w:rPr>
          <w:sz w:val="28"/>
          <w:szCs w:val="28"/>
        </w:rPr>
        <w:t xml:space="preserve"> заявителю результата </w:t>
      </w:r>
      <w:r>
        <w:rPr>
          <w:sz w:val="28"/>
          <w:szCs w:val="28"/>
        </w:rPr>
        <w:t>муниципальной услуге, исчи</w:t>
      </w:r>
      <w:r w:rsidR="009B090B">
        <w:rPr>
          <w:sz w:val="28"/>
          <w:szCs w:val="28"/>
        </w:rPr>
        <w:t>сляемый со дня принятия решения</w:t>
      </w:r>
      <w:r>
        <w:rPr>
          <w:sz w:val="28"/>
          <w:szCs w:val="28"/>
        </w:rPr>
        <w:t xml:space="preserve"> о предоставлении (об отказе в предоставлении) муниципальной услуги не более </w:t>
      </w:r>
      <w:r w:rsidR="009B090B">
        <w:rPr>
          <w:sz w:val="28"/>
          <w:szCs w:val="28"/>
        </w:rPr>
        <w:t>10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3704B9F3" w14:textId="4FCF5EF2" w:rsidR="004224B2" w:rsidRPr="009509A5" w:rsidRDefault="007D0D58" w:rsidP="004224B2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9B090B">
        <w:t xml:space="preserve">. </w:t>
      </w:r>
      <w:r w:rsidR="004224B2">
        <w:t>П</w:t>
      </w:r>
      <w:r w:rsidR="004224B2" w:rsidRPr="009509A5">
        <w:t>олучени</w:t>
      </w:r>
      <w:r w:rsidR="004224B2">
        <w:t>е</w:t>
      </w:r>
      <w:r w:rsidR="004224B2" w:rsidRPr="009509A5">
        <w:t xml:space="preserve"> дополнительных сведений от заявителя</w:t>
      </w:r>
      <w:r w:rsidR="004224B2"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7034F163" w14:textId="77777777" w:rsidR="00F52908" w:rsidRDefault="00F52908" w:rsidP="005A2D89">
      <w:pPr>
        <w:pStyle w:val="ConsPlusNormal"/>
        <w:ind w:firstLine="709"/>
        <w:jc w:val="both"/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250C28BE" w:rsidR="008F6DB9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</w:p>
    <w:p w14:paraId="02760D36" w14:textId="62FC9A27" w:rsidR="004F1C2E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</w:t>
      </w:r>
    </w:p>
    <w:p w14:paraId="53EE8B07" w14:textId="2D8A176B" w:rsidR="004F1C2E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В.В. Першин</w:t>
      </w:r>
    </w:p>
    <w:sectPr w:rsidR="004F1C2E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6C1D" w14:textId="77777777" w:rsidR="00DD46AD" w:rsidRDefault="00DD46AD">
      <w:r>
        <w:separator/>
      </w:r>
    </w:p>
  </w:endnote>
  <w:endnote w:type="continuationSeparator" w:id="0">
    <w:p w14:paraId="754AA4CC" w14:textId="77777777" w:rsidR="00DD46AD" w:rsidRDefault="00DD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80D70" w14:textId="77777777" w:rsidR="00DD46AD" w:rsidRDefault="00DD46AD">
      <w:r>
        <w:separator/>
      </w:r>
    </w:p>
  </w:footnote>
  <w:footnote w:type="continuationSeparator" w:id="0">
    <w:p w14:paraId="38DB39AA" w14:textId="77777777" w:rsidR="00DD46AD" w:rsidRDefault="00DD4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279D" w14:textId="0A24AC30" w:rsidR="004B6E73" w:rsidRDefault="001A39F4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 w:rsidR="00CF4548" w:rsidRPr="00CF4548">
      <w:rPr>
        <w:noProof/>
        <w:sz w:val="28"/>
        <w:szCs w:val="28"/>
      </w:rPr>
      <w:t>2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0FE09" w14:textId="77777777" w:rsidR="004B6E73" w:rsidRDefault="004B6E7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459B"/>
    <w:multiLevelType w:val="multilevel"/>
    <w:tmpl w:val="2BCA4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7B4983"/>
    <w:multiLevelType w:val="multilevel"/>
    <w:tmpl w:val="D5D01F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E7"/>
    <w:rsid w:val="00022B06"/>
    <w:rsid w:val="000348AC"/>
    <w:rsid w:val="0003563B"/>
    <w:rsid w:val="00040E39"/>
    <w:rsid w:val="000566C4"/>
    <w:rsid w:val="00056EAD"/>
    <w:rsid w:val="0006005C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B2244"/>
    <w:rsid w:val="000C4684"/>
    <w:rsid w:val="000D1559"/>
    <w:rsid w:val="000D28A7"/>
    <w:rsid w:val="000D351D"/>
    <w:rsid w:val="000E169C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50B24"/>
    <w:rsid w:val="0015728E"/>
    <w:rsid w:val="0016596C"/>
    <w:rsid w:val="0016601D"/>
    <w:rsid w:val="00170235"/>
    <w:rsid w:val="001703C0"/>
    <w:rsid w:val="0018211E"/>
    <w:rsid w:val="001838CF"/>
    <w:rsid w:val="001911C5"/>
    <w:rsid w:val="001939AF"/>
    <w:rsid w:val="001A39F4"/>
    <w:rsid w:val="001A6FD0"/>
    <w:rsid w:val="001B7F60"/>
    <w:rsid w:val="001C3925"/>
    <w:rsid w:val="001C5CD0"/>
    <w:rsid w:val="001D4858"/>
    <w:rsid w:val="001D5ACD"/>
    <w:rsid w:val="001E149A"/>
    <w:rsid w:val="001F576D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613A"/>
    <w:rsid w:val="00264660"/>
    <w:rsid w:val="002751C5"/>
    <w:rsid w:val="00281B8D"/>
    <w:rsid w:val="002865F2"/>
    <w:rsid w:val="002A59D0"/>
    <w:rsid w:val="002A6C40"/>
    <w:rsid w:val="002B5924"/>
    <w:rsid w:val="002B68D5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35C51"/>
    <w:rsid w:val="0033731B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0504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3752C"/>
    <w:rsid w:val="004452B7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4F1C2E"/>
    <w:rsid w:val="005001CF"/>
    <w:rsid w:val="005021E4"/>
    <w:rsid w:val="00507B7F"/>
    <w:rsid w:val="005158C2"/>
    <w:rsid w:val="00517390"/>
    <w:rsid w:val="005213A9"/>
    <w:rsid w:val="005241B1"/>
    <w:rsid w:val="00525271"/>
    <w:rsid w:val="005438C3"/>
    <w:rsid w:val="00545EDC"/>
    <w:rsid w:val="00546E4F"/>
    <w:rsid w:val="00557004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2AF1"/>
    <w:rsid w:val="00653932"/>
    <w:rsid w:val="006543DB"/>
    <w:rsid w:val="006558C3"/>
    <w:rsid w:val="006640CA"/>
    <w:rsid w:val="0066648A"/>
    <w:rsid w:val="00671FD8"/>
    <w:rsid w:val="006720B5"/>
    <w:rsid w:val="006763BA"/>
    <w:rsid w:val="00681D71"/>
    <w:rsid w:val="00697AEC"/>
    <w:rsid w:val="006B1BC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3D81"/>
    <w:rsid w:val="00725A7D"/>
    <w:rsid w:val="00726141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0379"/>
    <w:rsid w:val="008338B0"/>
    <w:rsid w:val="00833EAA"/>
    <w:rsid w:val="00836027"/>
    <w:rsid w:val="00844845"/>
    <w:rsid w:val="00844B3A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20C2"/>
    <w:rsid w:val="00894AD1"/>
    <w:rsid w:val="00895D38"/>
    <w:rsid w:val="008A2E46"/>
    <w:rsid w:val="008A30D7"/>
    <w:rsid w:val="008B3C56"/>
    <w:rsid w:val="008C230E"/>
    <w:rsid w:val="008D61C5"/>
    <w:rsid w:val="008D6DF5"/>
    <w:rsid w:val="008D6F04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1648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B02CB"/>
    <w:rsid w:val="009B02F7"/>
    <w:rsid w:val="009B090B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647D0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4548"/>
    <w:rsid w:val="00CF6A45"/>
    <w:rsid w:val="00D01481"/>
    <w:rsid w:val="00D04C53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46AD"/>
    <w:rsid w:val="00DD6A82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685E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51EFB"/>
    <w:rsid w:val="00F52908"/>
    <w:rsid w:val="00F82C32"/>
    <w:rsid w:val="00F872C0"/>
    <w:rsid w:val="00F92DC2"/>
    <w:rsid w:val="00F97873"/>
    <w:rsid w:val="00FA11B5"/>
    <w:rsid w:val="00FA54E7"/>
    <w:rsid w:val="00FC410B"/>
    <w:rsid w:val="00FC6AE5"/>
    <w:rsid w:val="00FD1BB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веб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844B3A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844B3A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login.consultant.ru/link/?req=doc&amp;base=RZB&amp;n=494999&amp;dst=10020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login.consultant.ru/link/?req=doc&amp;base=RZB&amp;n=494999&amp;dst=10018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gu.krasnodar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-yeisk.ru/" TargetMode="External"/><Relationship Id="rId24" Type="http://schemas.openxmlformats.org/officeDocument/2006/relationships/hyperlink" Target="https://login.consultant.ru/link/?req=doc&amp;base=RLAW177&amp;n=245259&amp;dst=1001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login.consultant.ru/link/?req=doc&amp;base=RZB&amp;n=494999&amp;dst=1002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krasnodar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5132-2766-4637-AAA2-1BCB7C9F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</TotalTime>
  <Pages>14</Pages>
  <Words>5040</Words>
  <Characters>28732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</cp:lastModifiedBy>
  <cp:revision>255</cp:revision>
  <cp:lastPrinted>2023-09-12T13:52:00Z</cp:lastPrinted>
  <dcterms:created xsi:type="dcterms:W3CDTF">2023-05-22T14:53:00Z</dcterms:created>
  <dcterms:modified xsi:type="dcterms:W3CDTF">2026-02-03T09:38:00Z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